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COMMUNICATIONS/SOCIAL MEDIA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Communications/Social Media Manager is responsible for planning, developing, implementing, and monitoring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social media content. This role is also responsible for developing relevant topics, identifying content types, and setting content guidelines.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Social Media Coordinator is an excellent communicator able to maintain engagement across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social media accounts, increase social media following, and drive traffic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website.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Managing content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social media accounts (e.g.,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Instagram, Facebook, Twitter, and LinkedIn)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Analyzing and reporting social media analytics and developing content strategies accordingly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Conducting surveys to identify the interests and concerns of key groups served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and implementing social media content strategies based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social media analytics and surveys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Researching, planning, and preparing topics for written, graphic, and video content that is informative, engaging, and can gain more followers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a content guideline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Assign content creation to a team of content developers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Maintaining the content calendar and ensuring content are published regularly on time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Considering web traffic and customer engagement metrics to create an optimal posting schedule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Initiating and maintaining contact with industry professionals, influencers, and the media for content partnership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Acting as spokesperson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, responding to inquiries on social media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Engaging with social media page visitors for user-generated content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Keeping up with the latest social media platforms, trends, best practices, and technologies.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Evaluating existing social media projects and strategies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Applying search engine optimization techniques that match or complement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Name]’s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website SEO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before="0" w:lineRule="auto"/>
        <w:ind w:left="720" w:firstLine="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xperience working in public relations or social media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Post-secondary education or equivalent experience in communications, social media, public relations or marketing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Proficient in MS Office Suite or Google Suite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Experience leading and managing SEO campaigns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 plus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Track record of identifying target audiences and developing social media content that engages, informs, and motivates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 plus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working on social media marketing campaigns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[INDICATE PLATFORM/S e.g., Facebook, Twitter and LinkedIn)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A/B and multivariate experimentation experience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Excellent understanding of website and analytics tools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Understanding of HTML, CSS, and JavaScript development and constraints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Experience using social media tools and project management tools (e.g., Hootsuite, Asana)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shd w:fill="auto" w:val="clear"/>
          <w:rtl w:val="0"/>
        </w:rPr>
        <w:t xml:space="preserve">Experience using design and media editing tools (e.g., Adobe Photoshop, Premier Pro)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with web design and publishing and the use of content management systems (e.g., WordPress) 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yellow"/>
          <w:rtl w:val="0"/>
        </w:rPr>
        <w:t xml:space="preserve">is required/an asset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Arial" w:cs="Arial" w:eastAsia="Arial" w:hAnsi="Arial"/>
          <w:color w:val="333333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written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Great interpersonal and communication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superb sense of aesthetics and 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time management, organization, strategic thinking, and multi-tasking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Superb critical thinking,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data analysis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exercise tact and discretion and diplomacy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deal with diverse populations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gasp future trends in digital technologies and act proactively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Fridays]/flexible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extended periods of sitting and working on a computer monitor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Interacting with the public often under varying circumstances-including situations of a highly sensitive nature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EbOfibVaDrnR/7qQVi1WSrhuA==">AMUW2mUoYvJTQpnoVyB2ygJ7iOkNI3BoChgoG0KxPjaS2lTCNgnTkU9M3QxSSTIL3N/I9mbiXRKQrBDUz5zvpHtvYrcJSVTnCZLh8yKCRhTpwL8zB7VXkGZyW5QFKnAfnKRryviwYfcp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